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E9CE12" w14:textId="29A82A5C" w:rsidR="00A906F1" w:rsidRPr="00A906F1" w:rsidRDefault="00D51E22">
      <w:pPr>
        <w:rPr>
          <w:rFonts w:asciiTheme="majorBidi" w:hAnsiTheme="majorBidi" w:cstheme="majorBidi"/>
          <w:b/>
          <w:bCs/>
          <w:sz w:val="28"/>
          <w:szCs w:val="28"/>
        </w:rPr>
      </w:pPr>
      <w:r w:rsidRPr="00D51E22">
        <w:drawing>
          <wp:anchor distT="0" distB="0" distL="114300" distR="114300" simplePos="0" relativeHeight="251661312" behindDoc="0" locked="0" layoutInCell="1" allowOverlap="1" wp14:anchorId="557BEE35" wp14:editId="2DD6CAAA">
            <wp:simplePos x="0" y="0"/>
            <wp:positionH relativeFrom="column">
              <wp:posOffset>3924300</wp:posOffset>
            </wp:positionH>
            <wp:positionV relativeFrom="paragraph">
              <wp:posOffset>-698500</wp:posOffset>
            </wp:positionV>
            <wp:extent cx="850900" cy="850900"/>
            <wp:effectExtent l="0" t="0" r="6350" b="6350"/>
            <wp:wrapNone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906F1">
        <w:rPr>
          <w:rFonts w:asciiTheme="majorBidi" w:hAnsiTheme="majorBidi" w:cstheme="majorBidi"/>
          <w:b/>
          <w:bCs/>
          <w:sz w:val="28"/>
          <w:szCs w:val="28"/>
        </w:rPr>
        <w:t xml:space="preserve">                                       </w:t>
      </w:r>
      <w:r w:rsidR="00A906F1" w:rsidRPr="00A906F1">
        <w:rPr>
          <w:rFonts w:asciiTheme="majorBidi" w:hAnsiTheme="majorBidi" w:cstheme="majorBidi"/>
          <w:b/>
          <w:bCs/>
          <w:sz w:val="28"/>
          <w:szCs w:val="28"/>
        </w:rPr>
        <w:t xml:space="preserve">Kaip </w:t>
      </w:r>
      <w:proofErr w:type="spellStart"/>
      <w:r w:rsidR="00A906F1" w:rsidRPr="00A906F1">
        <w:rPr>
          <w:rFonts w:asciiTheme="majorBidi" w:hAnsiTheme="majorBidi" w:cstheme="majorBidi"/>
          <w:b/>
          <w:bCs/>
          <w:sz w:val="28"/>
          <w:szCs w:val="28"/>
        </w:rPr>
        <w:t>gydomas</w:t>
      </w:r>
      <w:proofErr w:type="spellEnd"/>
      <w:r w:rsidR="00A906F1" w:rsidRPr="00A906F1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proofErr w:type="spellStart"/>
      <w:r w:rsidR="00A906F1" w:rsidRPr="00A906F1">
        <w:rPr>
          <w:rFonts w:asciiTheme="majorBidi" w:hAnsiTheme="majorBidi" w:cstheme="majorBidi"/>
          <w:b/>
          <w:bCs/>
          <w:sz w:val="28"/>
          <w:szCs w:val="28"/>
        </w:rPr>
        <w:t>utėlėtumas</w:t>
      </w:r>
      <w:proofErr w:type="spellEnd"/>
      <w:r w:rsidR="00A906F1" w:rsidRPr="00A906F1">
        <w:rPr>
          <w:rFonts w:asciiTheme="majorBidi" w:hAnsiTheme="majorBidi" w:cstheme="majorBidi"/>
          <w:b/>
          <w:bCs/>
          <w:sz w:val="28"/>
          <w:szCs w:val="28"/>
        </w:rPr>
        <w:t xml:space="preserve">? </w:t>
      </w:r>
    </w:p>
    <w:p w14:paraId="6491B289" w14:textId="46933618" w:rsidR="00EC4186" w:rsidRPr="00A906F1" w:rsidRDefault="00A906F1">
      <w:pPr>
        <w:rPr>
          <w:rFonts w:asciiTheme="majorBidi" w:hAnsiTheme="majorBidi" w:cstheme="majorBidi"/>
          <w:sz w:val="24"/>
          <w:szCs w:val="24"/>
          <w:lang w:val="pt-PT"/>
        </w:rPr>
      </w:pPr>
      <w:proofErr w:type="spellStart"/>
      <w:r w:rsidRPr="00A906F1">
        <w:rPr>
          <w:rFonts w:asciiTheme="majorBidi" w:hAnsiTheme="majorBidi" w:cstheme="majorBidi"/>
          <w:sz w:val="24"/>
          <w:szCs w:val="24"/>
        </w:rPr>
        <w:t>Utėles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naikinantys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medikamentai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(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pedikuliocidai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)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naudojami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tik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išaiškinus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utėlėtumą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ir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pasitarus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su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gydytoju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ar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</w:rPr>
        <w:t>vaistininku</w:t>
      </w:r>
      <w:proofErr w:type="spellEnd"/>
      <w:r w:rsidRPr="00A906F1"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Medikamentų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galima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įsigyti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vaistinėje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naudoti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pagal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informaciniame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lapelyje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nurodytą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aprašymą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Svarbu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nepamiršti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kad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užsikrėtę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gali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būti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kiti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šeimos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nariai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Visiems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vienu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metu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turi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būti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taikomos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tos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pačios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utėles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naikinančios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priemonės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0233AE44" w14:textId="5745BF23" w:rsidR="00A906F1" w:rsidRPr="00A906F1" w:rsidRDefault="00A906F1" w:rsidP="00A906F1">
      <w:pPr>
        <w:jc w:val="both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  <w:r>
        <w:rPr>
          <w:lang w:val="pt-PT"/>
        </w:rPr>
        <w:t xml:space="preserve"> 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Priemonės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su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cheminiais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insekticidais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</w:p>
    <w:p w14:paraId="0E822EA7" w14:textId="77777777" w:rsidR="00A906F1" w:rsidRPr="00A906F1" w:rsidRDefault="00A906F1" w:rsidP="00A906F1">
      <w:pPr>
        <w:jc w:val="both"/>
        <w:rPr>
          <w:rFonts w:asciiTheme="majorBidi" w:hAnsiTheme="majorBidi" w:cstheme="majorBidi"/>
          <w:sz w:val="24"/>
          <w:szCs w:val="24"/>
          <w:lang w:val="pt-PT"/>
        </w:rPr>
      </w:pPr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•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Neurotosiškai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veikia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utėles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taip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jas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sunaikina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64C57F25" w14:textId="77777777" w:rsidR="00A906F1" w:rsidRPr="00A906F1" w:rsidRDefault="00A906F1" w:rsidP="00A906F1">
      <w:pPr>
        <w:jc w:val="both"/>
        <w:rPr>
          <w:rFonts w:asciiTheme="majorBidi" w:hAnsiTheme="majorBidi" w:cstheme="majorBidi"/>
          <w:sz w:val="24"/>
          <w:szCs w:val="24"/>
          <w:lang w:val="pt-PT"/>
        </w:rPr>
      </w:pPr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•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Utėlių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atsparumas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didėja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todėl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priemonės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yra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neefektyvios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5CD12A38" w14:textId="77777777" w:rsidR="00A906F1" w:rsidRPr="00A906F1" w:rsidRDefault="00A906F1" w:rsidP="00A906F1">
      <w:pPr>
        <w:jc w:val="both"/>
        <w:rPr>
          <w:rFonts w:asciiTheme="majorBidi" w:hAnsiTheme="majorBidi" w:cstheme="majorBidi"/>
          <w:sz w:val="24"/>
          <w:szCs w:val="24"/>
          <w:lang w:val="pt-PT"/>
        </w:rPr>
      </w:pPr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•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Toksiškos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žmogui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3F5D2D28" w14:textId="77777777" w:rsidR="00A906F1" w:rsidRPr="00A906F1" w:rsidRDefault="00A906F1" w:rsidP="00A906F1">
      <w:pPr>
        <w:jc w:val="both"/>
        <w:rPr>
          <w:rFonts w:asciiTheme="majorBidi" w:hAnsiTheme="majorBidi" w:cstheme="majorBidi"/>
          <w:sz w:val="24"/>
          <w:szCs w:val="24"/>
          <w:lang w:val="pt-PT"/>
        </w:rPr>
      </w:pPr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•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Gali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sukelti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odos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kvėpavimo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takų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nepageidaujamas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reakcijas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>.</w:t>
      </w:r>
    </w:p>
    <w:p w14:paraId="188F2158" w14:textId="23E3B767" w:rsidR="00A906F1" w:rsidRDefault="00A906F1" w:rsidP="00A906F1">
      <w:pPr>
        <w:jc w:val="both"/>
        <w:rPr>
          <w:lang w:val="pt-PT"/>
        </w:rPr>
      </w:pPr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•</w:t>
      </w:r>
      <w:r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Pažeisti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žmogaus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nervų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sistemą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Reikia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vis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didesnio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kiekio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cheminių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insekticidų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norint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efektyviai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išnaikinti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utėles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bet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tuo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pačiu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žmogui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tenka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daugiau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toksiškų</w:t>
      </w:r>
      <w:proofErr w:type="spellEnd"/>
      <w:r w:rsidRPr="00A906F1">
        <w:rPr>
          <w:rFonts w:asciiTheme="majorBidi" w:hAnsiTheme="majorBidi" w:cstheme="majorBidi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sz w:val="24"/>
          <w:szCs w:val="24"/>
          <w:lang w:val="pt-PT"/>
        </w:rPr>
        <w:t>medžiagų</w:t>
      </w:r>
      <w:proofErr w:type="spellEnd"/>
      <w:r w:rsidRPr="00A906F1">
        <w:rPr>
          <w:lang w:val="pt-PT"/>
        </w:rPr>
        <w:t>.</w:t>
      </w:r>
    </w:p>
    <w:p w14:paraId="383B7D78" w14:textId="77777777" w:rsidR="00A906F1" w:rsidRPr="00A906F1" w:rsidRDefault="00A906F1" w:rsidP="00A906F1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pt-PT"/>
        </w:rPr>
      </w:pPr>
      <w:proofErr w:type="spellStart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>Priemonės</w:t>
      </w:r>
      <w:proofErr w:type="spellEnd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>su</w:t>
      </w:r>
      <w:proofErr w:type="spellEnd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>augaliniai</w:t>
      </w:r>
      <w:proofErr w:type="spellEnd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>aliejais</w:t>
      </w:r>
      <w:proofErr w:type="spellEnd"/>
      <w:r w:rsidRPr="00A906F1">
        <w:rPr>
          <w:rFonts w:ascii="Times New Roman" w:hAnsi="Times New Roman" w:cs="Times New Roman"/>
          <w:b/>
          <w:bCs/>
          <w:sz w:val="28"/>
          <w:szCs w:val="28"/>
          <w:lang w:val="pt-PT"/>
        </w:rPr>
        <w:t xml:space="preserve"> </w:t>
      </w:r>
    </w:p>
    <w:p w14:paraId="21B42ACB" w14:textId="76911E12" w:rsidR="00A906F1" w:rsidRPr="00A906F1" w:rsidRDefault="00A906F1" w:rsidP="00A906F1">
      <w:pPr>
        <w:jc w:val="both"/>
        <w:rPr>
          <w:rFonts w:ascii="Times New Roman" w:hAnsi="Times New Roman" w:cs="Times New Roman"/>
          <w:sz w:val="24"/>
          <w:szCs w:val="24"/>
          <w:lang w:val="pt-PT"/>
        </w:rPr>
      </w:pP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Priemonės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pagamintos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augalinių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aliejų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pagrindu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(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pvz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Parasidose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iš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biococidine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): </w:t>
      </w:r>
    </w:p>
    <w:p w14:paraId="3057B34D" w14:textId="77777777" w:rsidR="00A906F1" w:rsidRPr="00A906F1" w:rsidRDefault="00A906F1" w:rsidP="00A906F1">
      <w:pPr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•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Veikia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mechaniškai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–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utėlių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paviršių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padengia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riebalų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plėvele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jas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uždusina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(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žr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pav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.). </w:t>
      </w:r>
    </w:p>
    <w:p w14:paraId="5263633E" w14:textId="77777777" w:rsidR="00A906F1" w:rsidRPr="00A906F1" w:rsidRDefault="00A906F1" w:rsidP="00A906F1">
      <w:pPr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•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Utėlės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yra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neatsparios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parazitai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išnaikinami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100%. </w:t>
      </w:r>
    </w:p>
    <w:p w14:paraId="2A721B61" w14:textId="77777777" w:rsidR="00A906F1" w:rsidRPr="00A906F1" w:rsidRDefault="00A906F1" w:rsidP="00A906F1">
      <w:pPr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•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Nekenkia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žmogaus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sveikatai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nepažeidžia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žmogaus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galvos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71FFB006" w14:textId="23D84E26" w:rsidR="00A906F1" w:rsidRDefault="00A906F1" w:rsidP="00A906F1">
      <w:pPr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•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Tinka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nėščioms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ir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kūdikiams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nuo 3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mėn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>.</w:t>
      </w:r>
    </w:p>
    <w:p w14:paraId="2B42938F" w14:textId="6E424ADA" w:rsidR="00A906F1" w:rsidRPr="00A906F1" w:rsidRDefault="00A906F1" w:rsidP="00A906F1">
      <w:pPr>
        <w:jc w:val="both"/>
        <w:rPr>
          <w:rFonts w:asciiTheme="majorBidi" w:hAnsiTheme="majorBidi" w:cstheme="majorBidi"/>
          <w:b/>
          <w:bCs/>
          <w:sz w:val="28"/>
          <w:szCs w:val="28"/>
          <w:lang w:val="pt-PT"/>
        </w:rPr>
      </w:pPr>
      <w:r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                                        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Kaip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išvengti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 </w:t>
      </w:r>
      <w:proofErr w:type="spellStart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>utėlių</w:t>
      </w:r>
      <w:proofErr w:type="spellEnd"/>
      <w:r w:rsidRPr="00A906F1">
        <w:rPr>
          <w:rFonts w:asciiTheme="majorBidi" w:hAnsiTheme="majorBidi" w:cstheme="majorBidi"/>
          <w:b/>
          <w:bCs/>
          <w:sz w:val="28"/>
          <w:szCs w:val="28"/>
          <w:lang w:val="pt-PT"/>
        </w:rPr>
        <w:t xml:space="preserve">? </w:t>
      </w:r>
    </w:p>
    <w:p w14:paraId="3C3AC433" w14:textId="2CDC0D31" w:rsidR="00A906F1" w:rsidRDefault="00A906F1" w:rsidP="00A906F1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Pirmiausia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reikia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nustatyti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asmenis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kurie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yra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užsikrėtę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, ir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susitarti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kad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jie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nelankytų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kolektyvo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kol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nepasveiks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Profilaktiškai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reikėtų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naudoti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apsauginį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losjoną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nuo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utėlių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,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kuris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neleis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utėlėms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  <w:lang w:val="pt-PT"/>
        </w:rPr>
        <w:t>išplisti</w:t>
      </w:r>
      <w:proofErr w:type="spellEnd"/>
      <w:r w:rsidRPr="00A906F1">
        <w:rPr>
          <w:rFonts w:ascii="Times New Roman" w:hAnsi="Times New Roman" w:cs="Times New Roman"/>
          <w:sz w:val="24"/>
          <w:szCs w:val="24"/>
          <w:lang w:val="pt-PT"/>
        </w:rPr>
        <w:t xml:space="preserve">. </w:t>
      </w:r>
      <w:proofErr w:type="spellStart"/>
      <w:r w:rsidRPr="00A906F1">
        <w:rPr>
          <w:rFonts w:ascii="Times New Roman" w:hAnsi="Times New Roman" w:cs="Times New Roman"/>
          <w:sz w:val="24"/>
          <w:szCs w:val="24"/>
        </w:rPr>
        <w:t>Kasdienis</w:t>
      </w:r>
      <w:proofErr w:type="spellEnd"/>
      <w:r w:rsidRPr="00A906F1">
        <w:rPr>
          <w:rFonts w:ascii="Times New Roman" w:hAnsi="Times New Roman" w:cs="Times New Roman"/>
          <w:sz w:val="24"/>
          <w:szCs w:val="24"/>
        </w:rPr>
        <w:t xml:space="preserve"> galvos </w:t>
      </w:r>
      <w:proofErr w:type="spellStart"/>
      <w:r w:rsidRPr="00A906F1">
        <w:rPr>
          <w:rFonts w:ascii="Times New Roman" w:hAnsi="Times New Roman" w:cs="Times New Roman"/>
          <w:sz w:val="24"/>
          <w:szCs w:val="24"/>
        </w:rPr>
        <w:t>plovimas</w:t>
      </w:r>
      <w:proofErr w:type="spellEnd"/>
      <w:r w:rsidRPr="00A906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</w:rPr>
        <w:t>tikrai</w:t>
      </w:r>
      <w:proofErr w:type="spellEnd"/>
      <w:r w:rsidRPr="00A906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</w:rPr>
        <w:t>neapsaugo</w:t>
      </w:r>
      <w:proofErr w:type="spellEnd"/>
      <w:r w:rsidRPr="00A906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</w:rPr>
        <w:t>nuo</w:t>
      </w:r>
      <w:proofErr w:type="spellEnd"/>
      <w:r w:rsidRPr="00A906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06F1">
        <w:rPr>
          <w:rFonts w:ascii="Times New Roman" w:hAnsi="Times New Roman" w:cs="Times New Roman"/>
          <w:sz w:val="24"/>
          <w:szCs w:val="24"/>
        </w:rPr>
        <w:t>utėlių</w:t>
      </w:r>
      <w:proofErr w:type="spellEnd"/>
      <w:r w:rsidRPr="00A906F1">
        <w:rPr>
          <w:rFonts w:ascii="Times New Roman" w:hAnsi="Times New Roman" w:cs="Times New Roman"/>
          <w:sz w:val="24"/>
          <w:szCs w:val="24"/>
        </w:rPr>
        <w:t>.</w:t>
      </w:r>
    </w:p>
    <w:p w14:paraId="10F2EA6B" w14:textId="54043406" w:rsidR="00A906F1" w:rsidRPr="00A906F1" w:rsidRDefault="00B611C7" w:rsidP="00A906F1">
      <w:pPr>
        <w:jc w:val="both"/>
        <w:rPr>
          <w:rFonts w:ascii="Times New Roman" w:hAnsi="Times New Roman" w:cs="Times New Roman"/>
          <w:sz w:val="24"/>
          <w:szCs w:val="24"/>
          <w:lang w:val="pt-PT"/>
        </w:rPr>
      </w:pPr>
      <w:r>
        <w:rPr>
          <w:rFonts w:ascii="Times New Roman" w:hAnsi="Times New Roman" w:cs="Times New Roman"/>
          <w:noProof/>
          <w:sz w:val="24"/>
          <w:szCs w:val="24"/>
          <w:lang w:val="pt-P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4CB2C8" wp14:editId="6D255205">
                <wp:simplePos x="0" y="0"/>
                <wp:positionH relativeFrom="margin">
                  <wp:posOffset>-596900</wp:posOffset>
                </wp:positionH>
                <wp:positionV relativeFrom="paragraph">
                  <wp:posOffset>2306320</wp:posOffset>
                </wp:positionV>
                <wp:extent cx="7156450" cy="654050"/>
                <wp:effectExtent l="0" t="0" r="6350" b="0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6450" cy="6540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B628D9" w14:textId="6679F09F" w:rsidR="00B611C7" w:rsidRPr="00B611C7" w:rsidRDefault="00B611C7" w:rsidP="00B611C7">
                            <w:pPr>
                              <w:jc w:val="center"/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 w:bidi="ar-SA"/>
                              </w:rPr>
                            </w:pP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Publikacij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/>
                              </w:rPr>
                              <w:t xml:space="preserve">ą </w:t>
                            </w:r>
                            <w:proofErr w:type="gram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/>
                              </w:rPr>
                              <w:t>parengė :</w:t>
                            </w:r>
                            <w:proofErr w:type="gram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/>
                              </w:rPr>
                              <w:t xml:space="preserve"> </w:t>
                            </w:r>
                            <w:r w:rsidRPr="00B611C7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 w:bidi="ar-SA"/>
                              </w:rPr>
                              <w:t xml:space="preserve">Visuomenės sveikatos specialistė Jordana Kurtinaitienė tl.nr:864708402 </w:t>
                            </w:r>
                            <w:proofErr w:type="spellStart"/>
                            <w:r w:rsidRPr="00B611C7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 w:bidi="ar-SA"/>
                              </w:rPr>
                              <w:t>el.paštas</w:t>
                            </w:r>
                            <w:proofErr w:type="spellEnd"/>
                            <w:r w:rsidRPr="00B611C7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 w:bidi="ar-SA"/>
                              </w:rPr>
                              <w:t xml:space="preserve">: </w:t>
                            </w:r>
                            <w:hyperlink r:id="rId5" w:history="1">
                              <w:r w:rsidRPr="002D3D2A">
                                <w:rPr>
                                  <w:rStyle w:val="Hipersaitas"/>
                                  <w:rFonts w:ascii="Times New Roman" w:eastAsia="Calibri" w:hAnsi="Times New Roman" w:cs="Times New Roman"/>
                                  <w:i/>
                                  <w:iCs/>
                                  <w:sz w:val="20"/>
                                  <w:szCs w:val="20"/>
                                  <w:lang w:val="lt-LT" w:bidi="ar-SA"/>
                                </w:rPr>
                                <w:t>jordana.kurtinaitiene@sveikatos-biuras.lt</w:t>
                              </w:r>
                            </w:hyperlink>
                            <w:r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 w:bidi="ar-SA"/>
                              </w:rPr>
                              <w:t xml:space="preserve"> pagal </w:t>
                            </w:r>
                            <w:r w:rsidRPr="00B611C7">
                              <w:rPr>
                                <w:rFonts w:ascii="Times New Roman" w:eastAsia="Calibri" w:hAnsi="Times New Roman" w:cs="Times New Roman"/>
                                <w:i/>
                                <w:iCs/>
                                <w:sz w:val="20"/>
                                <w:szCs w:val="20"/>
                                <w:lang w:val="lt-LT" w:bidi="ar-SA"/>
                              </w:rPr>
                              <w:t xml:space="preserve">ULAC </w:t>
                            </w: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Pedikuliozės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profilaktika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ir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kontrolė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metodinės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rekomendacijos</w:t>
                            </w:r>
                            <w:proofErr w:type="spellEnd"/>
                            <w:r w:rsidRPr="00B611C7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6CA6B86" w14:textId="6F49E6F8" w:rsidR="00B611C7" w:rsidRPr="00B611C7" w:rsidRDefault="00B611C7" w:rsidP="00B611C7">
                            <w:pPr>
                              <w:jc w:val="center"/>
                              <w:rPr>
                                <w:lang w:val="lt-L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4CB2C8" id="Stačiakampis 2" o:spid="_x0000_s1026" style="position:absolute;left:0;text-align:left;margin-left:-47pt;margin-top:181.6pt;width:563.5pt;height:51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" fillcolor="white [3201]" stroked="f" strokeweight="1pt">
                <v:textbox>
                  <w:txbxContent>
                    <w:p w14:paraId="28B628D9" w14:textId="6679F09F" w:rsidR="00B611C7" w:rsidRPr="00B611C7" w:rsidRDefault="00B611C7" w:rsidP="00B611C7">
                      <w:pPr>
                        <w:jc w:val="center"/>
                        <w:rPr>
                          <w:rFonts w:ascii="Times New Roman" w:eastAsia="Calibri" w:hAnsi="Times New Roman" w:cs="Times New Roman"/>
                          <w:i/>
                          <w:iCs/>
                          <w:sz w:val="20"/>
                          <w:szCs w:val="20"/>
                          <w:lang w:val="lt-LT" w:bidi="ar-SA"/>
                        </w:rPr>
                      </w:pP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Publikacij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lt-LT"/>
                        </w:rPr>
                        <w:t xml:space="preserve">ą </w:t>
                      </w:r>
                      <w:proofErr w:type="gram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lt-LT"/>
                        </w:rPr>
                        <w:t>parengė :</w:t>
                      </w:r>
                      <w:proofErr w:type="gram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  <w:lang w:val="lt-LT"/>
                        </w:rPr>
                        <w:t xml:space="preserve"> </w:t>
                      </w:r>
                      <w:r w:rsidRPr="00B611C7">
                        <w:rPr>
                          <w:rFonts w:ascii="Times New Roman" w:eastAsia="Calibri" w:hAnsi="Times New Roman" w:cs="Times New Roman"/>
                          <w:i/>
                          <w:iCs/>
                          <w:sz w:val="20"/>
                          <w:szCs w:val="20"/>
                          <w:lang w:val="lt-LT" w:bidi="ar-SA"/>
                        </w:rPr>
                        <w:t xml:space="preserve">Visuomenės sveikatos specialistė Jordana Kurtinaitienė tl.nr:864708402 </w:t>
                      </w:r>
                      <w:proofErr w:type="spellStart"/>
                      <w:r w:rsidRPr="00B611C7">
                        <w:rPr>
                          <w:rFonts w:ascii="Times New Roman" w:eastAsia="Calibri" w:hAnsi="Times New Roman" w:cs="Times New Roman"/>
                          <w:i/>
                          <w:iCs/>
                          <w:sz w:val="20"/>
                          <w:szCs w:val="20"/>
                          <w:lang w:val="lt-LT" w:bidi="ar-SA"/>
                        </w:rPr>
                        <w:t>el.paštas</w:t>
                      </w:r>
                      <w:proofErr w:type="spellEnd"/>
                      <w:r w:rsidRPr="00B611C7">
                        <w:rPr>
                          <w:rFonts w:ascii="Times New Roman" w:eastAsia="Calibri" w:hAnsi="Times New Roman" w:cs="Times New Roman"/>
                          <w:i/>
                          <w:iCs/>
                          <w:sz w:val="20"/>
                          <w:szCs w:val="20"/>
                          <w:lang w:val="lt-LT" w:bidi="ar-SA"/>
                        </w:rPr>
                        <w:t xml:space="preserve">: </w:t>
                      </w:r>
                      <w:hyperlink r:id="rId6" w:history="1">
                        <w:r w:rsidRPr="002D3D2A">
                          <w:rPr>
                            <w:rStyle w:val="Hipersaitas"/>
                            <w:rFonts w:ascii="Times New Roman" w:eastAsia="Calibri" w:hAnsi="Times New Roman" w:cs="Times New Roman"/>
                            <w:i/>
                            <w:iCs/>
                            <w:sz w:val="20"/>
                            <w:szCs w:val="20"/>
                            <w:lang w:val="lt-LT" w:bidi="ar-SA"/>
                          </w:rPr>
                          <w:t>jordana.kurtinaitiene@sveikatos-biuras.lt</w:t>
                        </w:r>
                      </w:hyperlink>
                      <w:r>
                        <w:rPr>
                          <w:rFonts w:ascii="Times New Roman" w:eastAsia="Calibri" w:hAnsi="Times New Roman" w:cs="Times New Roman"/>
                          <w:i/>
                          <w:iCs/>
                          <w:sz w:val="20"/>
                          <w:szCs w:val="20"/>
                          <w:lang w:val="lt-LT" w:bidi="ar-SA"/>
                        </w:rPr>
                        <w:t xml:space="preserve"> pagal </w:t>
                      </w:r>
                      <w:r w:rsidRPr="00B611C7">
                        <w:rPr>
                          <w:rFonts w:ascii="Times New Roman" w:eastAsia="Calibri" w:hAnsi="Times New Roman" w:cs="Times New Roman"/>
                          <w:i/>
                          <w:iCs/>
                          <w:sz w:val="20"/>
                          <w:szCs w:val="20"/>
                          <w:lang w:val="lt-LT" w:bidi="ar-SA"/>
                        </w:rPr>
                        <w:t xml:space="preserve">ULAC </w:t>
                      </w: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Pedikuliozės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profilaktika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ir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kontrolė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 xml:space="preserve"> (</w:t>
                      </w: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metodinės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rekomendacijos</w:t>
                      </w:r>
                      <w:proofErr w:type="spellEnd"/>
                      <w:r w:rsidRPr="00B611C7">
                        <w:rPr>
                          <w:rFonts w:ascii="Times New Roman" w:hAnsi="Times New Roman" w:cs="Times New Roman"/>
                          <w:i/>
                          <w:iCs/>
                          <w:sz w:val="20"/>
                          <w:szCs w:val="20"/>
                        </w:rPr>
                        <w:t>)</w:t>
                      </w:r>
                    </w:p>
                    <w:p w14:paraId="26CA6B86" w14:textId="6F49E6F8" w:rsidR="00B611C7" w:rsidRPr="00B611C7" w:rsidRDefault="00B611C7" w:rsidP="00B611C7">
                      <w:pPr>
                        <w:jc w:val="center"/>
                        <w:rPr>
                          <w:lang w:val="lt-LT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906F1">
        <w:rPr>
          <w:rFonts w:ascii="Times New Roman" w:hAnsi="Times New Roman" w:cs="Times New Roman"/>
          <w:noProof/>
          <w:sz w:val="24"/>
          <w:szCs w:val="24"/>
          <w:lang w:val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830031" wp14:editId="1F5B8B8A">
                <wp:simplePos x="0" y="0"/>
                <wp:positionH relativeFrom="margin">
                  <wp:posOffset>-698500</wp:posOffset>
                </wp:positionH>
                <wp:positionV relativeFrom="paragraph">
                  <wp:posOffset>77470</wp:posOffset>
                </wp:positionV>
                <wp:extent cx="7353300" cy="1930400"/>
                <wp:effectExtent l="152400" t="95250" r="152400" b="8890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53300" cy="1930400"/>
                        </a:xfrm>
                        <a:prstGeom prst="rect">
                          <a:avLst/>
                        </a:prstGeom>
                        <a:solidFill>
                          <a:srgbClr val="FF99FF"/>
                        </a:solidFill>
                        <a:ln>
                          <a:noFill/>
                        </a:ln>
                        <a:effectLst>
                          <a:outerShdw blurRad="63500" sx="102000" sy="102000" algn="c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CB109F" w14:textId="6C431535" w:rsidR="00A906F1" w:rsidRPr="00A906F1" w:rsidRDefault="00A906F1" w:rsidP="00A906F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TAI 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>SVARBU</w:t>
                            </w:r>
                            <w:proofErr w:type="gramEnd"/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!</w:t>
                            </w:r>
                          </w:p>
                          <w:p w14:paraId="11F11327" w14:textId="1CDEF789" w:rsidR="00A906F1" w:rsidRPr="00A906F1" w:rsidRDefault="00A906F1" w:rsidP="00A906F1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Vaikai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neturėtų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keistis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skaromis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šalikais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ar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kepurėmis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naudotis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svetimomis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šukomis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Vaikas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į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kolektyvą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turėtų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sugrįžti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tik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tada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kai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utėlės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ir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glindos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visiškai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išnaikinamos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.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Saugiausia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gydytis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ir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apsisaugoti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nuo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utėlių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naudojant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natūralias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priemones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kurios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nekenkia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žmogaus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sveikatai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, o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utėles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ir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glindas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išnaikina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100 </w:t>
                            </w:r>
                            <w:proofErr w:type="spellStart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procentų</w:t>
                            </w:r>
                            <w:proofErr w:type="spellEnd"/>
                            <w:r w:rsidRPr="00A906F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830031" id="Stačiakampis 1" o:spid="_x0000_s1027" style="position:absolute;left:0;text-align:left;margin-left:-55pt;margin-top:6.1pt;width:579pt;height:15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" fillcolor="#f9f" stroked="f" strokeweight="1pt">
                <v:shadow on="t" type="perspective" color="black" opacity="26214f" offset="0,0" matrix="66847f,,,66847f"/>
                <v:textbox>
                  <w:txbxContent>
                    <w:p w14:paraId="30CB109F" w14:textId="6C431535" w:rsidR="00A906F1" w:rsidRPr="00A906F1" w:rsidRDefault="00A906F1" w:rsidP="00A906F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</w:pPr>
                      <w:proofErr w:type="gram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TAI 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>SVARBU</w:t>
                      </w:r>
                      <w:proofErr w:type="gramEnd"/>
                      <w:r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32"/>
                          <w:szCs w:val="32"/>
                        </w:rPr>
                        <w:t xml:space="preserve"> !</w:t>
                      </w:r>
                    </w:p>
                    <w:p w14:paraId="11F11327" w14:textId="1CDEF789" w:rsidR="00A906F1" w:rsidRPr="00A906F1" w:rsidRDefault="00A906F1" w:rsidP="00A906F1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Vaikai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neturėtų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keistis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skaromis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šalikais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ar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kepurėmis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naudotis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svetimomis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šukomis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Vaikas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į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kolektyvą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turėtų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sugrįžti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tik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tada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, kai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utėlės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ir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glindos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visiškai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išnaikinamos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.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Saugiausia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gydytis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ir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apsisaugoti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nuo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utėlių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naudojant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natūralias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priemones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,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kurios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nekenkia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žmogaus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sveikatai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, o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utėles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ir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glindas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išnaikina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 xml:space="preserve"> 100 </w:t>
                      </w:r>
                      <w:proofErr w:type="spellStart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procentų</w:t>
                      </w:r>
                      <w:proofErr w:type="spellEnd"/>
                      <w:r w:rsidRPr="00A906F1">
                        <w:rPr>
                          <w:rFonts w:asciiTheme="majorBidi" w:hAnsiTheme="majorBidi" w:cstheme="majorBidi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A906F1" w:rsidRPr="00A906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F1"/>
    <w:rsid w:val="003719B2"/>
    <w:rsid w:val="00A906F1"/>
    <w:rsid w:val="00B611C7"/>
    <w:rsid w:val="00C4171E"/>
    <w:rsid w:val="00D51E22"/>
    <w:rsid w:val="00EC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68763"/>
  <w15:chartTrackingRefBased/>
  <w15:docId w15:val="{2C347DA0-017F-4933-AE14-E75E5B5E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unhideWhenUsed/>
    <w:rsid w:val="00B611C7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B611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rdana.kurtinaitiene@sveikatos-biuras.lt" TargetMode="External"/><Relationship Id="rId5" Type="http://schemas.openxmlformats.org/officeDocument/2006/relationships/hyperlink" Target="mailto:jordana.kurtinaitiene@sveikatos-biuras.l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Jordana Kurtinaitiene</dc:creator>
  <cp:keywords/>
  <dc:description/>
  <cp:lastModifiedBy>Jordana Kurtinaitiene</cp:lastModifiedBy>
  <cp:revision>5</cp:revision>
  <dcterms:created xsi:type="dcterms:W3CDTF">2020-09-29T12:28:00Z</dcterms:created>
  <dcterms:modified xsi:type="dcterms:W3CDTF">2020-09-29T13:01:00Z</dcterms:modified>
</cp:coreProperties>
</file>